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91" w:rsidRPr="00AA7991" w:rsidRDefault="00AA7991" w:rsidP="00AA7991">
      <w:pPr>
        <w:shd w:val="clear" w:color="auto" w:fill="FFFFFF"/>
        <w:spacing w:after="0" w:line="270" w:lineRule="atLeast"/>
        <w:ind w:right="153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E32B0" w:rsidRPr="007E32B0" w:rsidRDefault="00AA7991" w:rsidP="00AA7991">
      <w:pPr>
        <w:shd w:val="clear" w:color="auto" w:fill="FFFFFF"/>
        <w:spacing w:after="0" w:line="270" w:lineRule="atLeast"/>
        <w:ind w:right="2265"/>
        <w:rPr>
          <w:rFonts w:ascii="Arial" w:hAnsi="Arial" w:cs="Arial"/>
          <w:i/>
          <w:color w:val="403152" w:themeColor="accent4" w:themeShade="80"/>
          <w:sz w:val="24"/>
          <w:szCs w:val="24"/>
          <w:shd w:val="clear" w:color="auto" w:fill="FFFFFF"/>
        </w:rPr>
      </w:pPr>
      <w:r w:rsidRPr="00AA7991">
        <w:rPr>
          <w:rFonts w:ascii="Arial" w:eastAsia="Times New Roman" w:hAnsi="Arial" w:cs="Arial"/>
          <w:b/>
          <w:i/>
          <w:color w:val="C00000"/>
          <w:sz w:val="32"/>
          <w:szCs w:val="32"/>
          <w:lang w:eastAsia="ru-RU"/>
        </w:rPr>
        <w:t>Помехи произнесению речи (актерская лихорадка)</w:t>
      </w:r>
      <w:r w:rsidRPr="00AA7991">
        <w:rPr>
          <w:rFonts w:ascii="Arial" w:eastAsia="Times New Roman" w:hAnsi="Arial" w:cs="Arial"/>
          <w:b/>
          <w:i/>
          <w:color w:val="C00000"/>
          <w:sz w:val="32"/>
          <w:szCs w:val="32"/>
          <w:lang w:eastAsia="ru-RU"/>
        </w:rPr>
        <w:br/>
      </w:r>
      <w:r w:rsidR="007E32B0" w:rsidRPr="007E32B0">
        <w:rPr>
          <w:rStyle w:val="apple-converted-space"/>
          <w:rFonts w:ascii="Arial" w:hAnsi="Arial" w:cs="Arial"/>
          <w:i/>
          <w:color w:val="403152" w:themeColor="accent4" w:themeShade="80"/>
          <w:sz w:val="24"/>
          <w:szCs w:val="24"/>
          <w:shd w:val="clear" w:color="auto" w:fill="FFFFFF"/>
        </w:rPr>
        <w:t> </w:t>
      </w:r>
      <w:r w:rsidR="007E32B0" w:rsidRPr="007E32B0">
        <w:rPr>
          <w:rFonts w:ascii="Arial" w:hAnsi="Arial" w:cs="Arial"/>
          <w:i/>
          <w:color w:val="403152" w:themeColor="accent4" w:themeShade="80"/>
          <w:sz w:val="24"/>
          <w:szCs w:val="24"/>
          <w:shd w:val="clear" w:color="auto" w:fill="FFFFFF"/>
        </w:rPr>
        <w:t>Неприлично выйти на сцену развязно, с болтающимся галстуком.</w:t>
      </w:r>
    </w:p>
    <w:p w:rsidR="00AA7991" w:rsidRPr="00AA7991" w:rsidRDefault="007E32B0" w:rsidP="00AA7991">
      <w:pPr>
        <w:shd w:val="clear" w:color="auto" w:fill="FFFFFF"/>
        <w:spacing w:after="0" w:line="270" w:lineRule="atLeast"/>
        <w:ind w:right="2265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E32B0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Общая манера держаться — лучше подтянутая </w:t>
      </w:r>
      <w:proofErr w:type="gramStart"/>
      <w:r w:rsidRPr="007E32B0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и</w:t>
      </w:r>
      <w:proofErr w:type="gramEnd"/>
      <w:r w:rsidRPr="007E32B0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тем не менее свободная. Не следует рассматривать потолок зала, как будто что-то не в порядке с люстрой. Мы дружески окидываем взглядом слушателей и наблюдаем их реакцию. По мимике и позам можно прочитать: сомнение, участие, согласие, неодобрение (наморщенный лоб, движения головы!)</w:t>
      </w:r>
      <w:r w:rsidR="00AA7991" w:rsidRPr="00AA799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br/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Причиной старто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вой </w:t>
      </w:r>
      <w:r w:rsid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актерской 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лихорадки, в большинстве слу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чаев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недостат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 уверенности в себе. Это «опа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сение оказаться несос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тоятельным и не получить призна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большинства», по выражению </w:t>
      </w:r>
      <w:proofErr w:type="spellStart"/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Веллера</w:t>
      </w:r>
      <w:proofErr w:type="spellEnd"/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Следствием является психический стресс и нервный срыв. Какие есть средства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против стартовой лихорадки?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79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1.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Мы готовимся к речи основател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ьно, насколько это возможно.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  <w:t xml:space="preserve">2.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Во время пробной речи полностью ставим себя 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 ситуацию реального случая.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  <w:t xml:space="preserve">3.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Мы просим пару хороших друзей сесть впереди в зале. Когда видишь перед собо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й людей, которым до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веряешь, 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то чувствуешь себя уверенно.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  <w:t>4</w:t>
      </w:r>
      <w:proofErr w:type="gramStart"/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</w:t>
      </w:r>
      <w:proofErr w:type="gramEnd"/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еред началом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речи снимаем напряжение. Полез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но позволить се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бе немного праздности, можно ис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пользовать занятия, действующие как отдых. Не забывайте прогу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лки. Но есть надо мало! Успокаи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вающе действуют 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двадцать глубоких вдохов незадо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лг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 перед началом выступления.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  <w:t xml:space="preserve">5.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Непосредственно перед началом речи мы говорим подчеркнуто медленно и спокойно.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Стартовая лихорадка - совершенно нормальная промежуточная стадия для любого начинающего оратора. Опыт учит, что стартовая лихорадка медленно, но постепенно ослабевает по мере увеличения речевой практики.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7991" w:rsidRPr="00AA79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Стартовая лихорадка проходит, а остается, может быть, у любого оратора, известное напряжение перед произнесением речи, и </w:t>
      </w:r>
      <w:proofErr w:type="gramStart"/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оно</w:t>
      </w:r>
      <w:proofErr w:type="gramEnd"/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безусловно необходимо для живой манеры речи.</w:t>
      </w:r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="00AA7991" w:rsidRPr="00AA79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вы следуете всем моим советам — и все же кровь приливает к голове, пульс бешеный. «О, лучше бы мне провалиться скв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озь землю». Вы остановились пос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реди Вашего доклада. 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 всему прочему еще и Ваши клю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чевые 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слова устраивают злую игру в прятки или вдруг больше не желают поддаваться расшифровке. Обычно появляется вымученный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стиль речи, даже у Гете во вре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 знаменитого высту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пления на открытии горного пред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приятия в </w:t>
      </w:r>
      <w:proofErr w:type="spellStart"/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Ильменау</w:t>
      </w:r>
      <w:proofErr w:type="spellEnd"/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Слушателей охватило сочувствие и неловкость. Возможно, некоторые проявляли, как это бывает, откровенное </w:t>
      </w:r>
      <w:proofErr w:type="gramStart"/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</w:t>
      </w:r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орадство</w:t>
      </w:r>
      <w:proofErr w:type="gramEnd"/>
      <w:r w:rsidR="00AA7991" w:rsidRPr="00DD3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особенно если речь по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литическая.</w:t>
      </w:r>
      <w:r w:rsidR="00AA7991" w:rsidRPr="00AA79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7991" w:rsidRPr="00AA79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Итак, имеем более или менее драматическую паузу, за которой следует невнятное бормотание. Что нужно делать в действительн</w:t>
      </w:r>
      <w:r w:rsidR="00AA7991" w:rsidRPr="00DD3FF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ости? На самом деле ситуация на</w:t>
      </w:r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много безобиднее, чем</w:t>
      </w:r>
      <w:r w:rsidR="00AA7991" w:rsidRPr="00DD3FF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представляется, потому что слу</w:t>
      </w:r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шатели ведь не знают, что собственно Вы хотите сказать. В Вашем распоряжени</w:t>
      </w:r>
      <w:r w:rsidR="00AA7991" w:rsidRPr="00DD3FF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и есть два средства, которые по</w:t>
      </w:r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могут Вам:</w:t>
      </w:r>
      <w:r w:rsidR="00AA7991" w:rsidRPr="00AA799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="00AA79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1.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Повторите другими словами только что сказанное. Благодаря этому ухватите нить последнего высказывания или обобщите весь отрезок речи целиком. В то время, когда Вы это делаете, потерянная мысль обычно приходит,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если ранее она была хорошо под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готовлена.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2.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Если запуталис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ь, то предложение спокойно обры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вают посередине </w:t>
      </w:r>
      <w:r w:rsidR="00AA7991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 говорят, например: «Я хочу вы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сказатьс</w:t>
      </w:r>
      <w:r w:rsidR="00DD3FF8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я иначе — надеюсь, лучше...»</w:t>
      </w:r>
      <w:r w:rsidR="00DD3FF8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="00DD3FF8" w:rsidRPr="00DD3FF8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  <w:t xml:space="preserve">3. </w:t>
      </w:r>
      <w:r w:rsidR="00AA7991" w:rsidRPr="00AA799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Вы переходите к новому разделу. Пропущенный от резок Вы можете привести позже, со словами: «Впрочем, мне нужно сказать кое-что еще...» или «Здесь мне хотелось бы еще добавить...»</w:t>
      </w:r>
    </w:p>
    <w:p w:rsidR="00AA7991" w:rsidRPr="00AA7991" w:rsidRDefault="00AA7991" w:rsidP="00DD3FF8">
      <w:pPr>
        <w:shd w:val="clear" w:color="auto" w:fill="FFFFFF"/>
        <w:spacing w:after="0" w:line="270" w:lineRule="atLeast"/>
        <w:ind w:right="160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37505" w:rsidRDefault="00237505"/>
    <w:sectPr w:rsidR="0023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6750"/>
    <w:multiLevelType w:val="multilevel"/>
    <w:tmpl w:val="59B4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15"/>
    <w:rsid w:val="00237505"/>
    <w:rsid w:val="00576615"/>
    <w:rsid w:val="007E32B0"/>
    <w:rsid w:val="00AA7991"/>
    <w:rsid w:val="00DD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295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4688">
                      <w:marLeft w:val="1170"/>
                      <w:marRight w:val="7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1575">
                      <w:marLeft w:val="-6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2655">
                      <w:marLeft w:val="1170"/>
                      <w:marRight w:val="7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2020-04-27T21:59:00Z</dcterms:created>
  <dcterms:modified xsi:type="dcterms:W3CDTF">2020-04-27T22:15:00Z</dcterms:modified>
</cp:coreProperties>
</file>